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7710" w:rsidRDefault="00377710" w:rsidP="0037771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:rsidR="00377710" w:rsidRDefault="00377710" w:rsidP="00377710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  <w:lang w:eastAsia="tr-TR"/>
        </w:rPr>
        <w:drawing>
          <wp:inline distT="0" distB="0" distL="0" distR="0" wp14:anchorId="234F8A28" wp14:editId="3D73E4CB">
            <wp:extent cx="3057525" cy="2324100"/>
            <wp:effectExtent l="0" t="0" r="9525" b="0"/>
            <wp:docPr id="3" name="Grafik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377710" w:rsidRDefault="00377710" w:rsidP="00377710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22D29">
        <w:rPr>
          <w:rFonts w:ascii="Arial" w:hAnsi="Arial" w:cs="Arial"/>
          <w:noProof/>
          <w:sz w:val="16"/>
          <w:szCs w:val="16"/>
          <w:lang w:eastAsia="tr-TR"/>
        </w:rPr>
        <w:drawing>
          <wp:inline distT="0" distB="0" distL="0" distR="0" wp14:anchorId="221D056E" wp14:editId="4E6623F4">
            <wp:extent cx="3095625" cy="2238375"/>
            <wp:effectExtent l="0" t="0" r="9525" b="9525"/>
            <wp:docPr id="4" name="Grafik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377710" w:rsidRDefault="00377710" w:rsidP="0037771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36B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Figure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Pr="00D36B09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>
        <w:rPr>
          <w:b/>
          <w:lang w:val="en-US"/>
        </w:rPr>
        <w:t xml:space="preserve"> </w:t>
      </w:r>
      <w:r>
        <w:rPr>
          <w:lang w:val="en-US"/>
        </w:rPr>
        <w:t>Cu</w:t>
      </w:r>
      <w:r w:rsidRPr="00D36B09">
        <w:rPr>
          <w:rFonts w:ascii="Times New Roman" w:hAnsi="Times New Roman" w:cs="Times New Roman"/>
          <w:sz w:val="24"/>
          <w:szCs w:val="24"/>
          <w:lang w:val="en-US"/>
        </w:rPr>
        <w:t xml:space="preserve">rrent response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PPy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(A) and POA (B) based </w:t>
      </w:r>
      <w:r w:rsidRPr="00D36B09">
        <w:rPr>
          <w:rFonts w:ascii="Times New Roman" w:hAnsi="Times New Roman" w:cs="Times New Roman"/>
          <w:sz w:val="24"/>
          <w:szCs w:val="24"/>
          <w:lang w:val="en-US"/>
        </w:rPr>
        <w:t xml:space="preserve">biosensors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that modified with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ZnO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nanoparticles. </w:t>
      </w:r>
      <w:r>
        <w:rPr>
          <w:rFonts w:ascii="Times New Roman" w:hAnsi="Times New Roman" w:cs="Times New Roman"/>
          <w:sz w:val="24"/>
          <w:szCs w:val="24"/>
          <w:lang w:val="en-US"/>
        </w:rPr>
        <w:sym w:font="Wingdings 3" w:char="F072"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:NP-free; </w:t>
      </w:r>
      <w:r>
        <w:rPr>
          <w:rFonts w:ascii="Times New Roman" w:hAnsi="Times New Roman" w:cs="Times New Roman"/>
          <w:sz w:val="24"/>
          <w:szCs w:val="24"/>
          <w:lang w:val="en-US"/>
        </w:rPr>
        <w:sym w:font="Wingdings 3" w:char="F070"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:0.1; </w:t>
      </w:r>
      <w:r>
        <w:rPr>
          <w:rFonts w:ascii="Times New Roman" w:hAnsi="Times New Roman" w:cs="Times New Roman"/>
          <w:sz w:val="24"/>
          <w:szCs w:val="24"/>
          <w:lang w:val="en-US"/>
        </w:rPr>
        <w:sym w:font="Wingdings 2" w:char="F0A3"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:0.5 and </w:t>
      </w:r>
      <w:r>
        <w:rPr>
          <w:rFonts w:ascii="Times New Roman" w:hAnsi="Times New Roman" w:cs="Times New Roman"/>
          <w:sz w:val="24"/>
          <w:szCs w:val="24"/>
          <w:lang w:val="en-US"/>
        </w:rPr>
        <w:sym w:font="Wingdings 2" w:char="F099"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: 2 mg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ZnO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-NP/ml Chi</w:t>
      </w:r>
    </w:p>
    <w:p w:rsidR="00563FF0" w:rsidRDefault="00563FF0" w:rsidP="00563FF0">
      <w:pPr>
        <w:spacing w:line="360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sectPr w:rsidR="00563F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E28"/>
    <w:rsid w:val="00322730"/>
    <w:rsid w:val="00377710"/>
    <w:rsid w:val="00495E28"/>
    <w:rsid w:val="00563FF0"/>
    <w:rsid w:val="0075709D"/>
    <w:rsid w:val="00BF6098"/>
    <w:rsid w:val="00CA3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DCA5C4-1CD2-4144-A069-9119F0A41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5E28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A38F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2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F:\RAG&#304;BE%20ES&#304;YE%20PPy%20POA%20ZnO\makale%20grafikleri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F:\RAG&#304;BE%20ES&#304;YE%20PPy%20POA%20ZnO\makale%20grafikleri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vert="horz"/>
          <a:lstStyle/>
          <a:p>
            <a:pPr>
              <a:defRPr/>
            </a:pPr>
            <a:r>
              <a:rPr lang="tr-TR"/>
              <a:t>(A)</a:t>
            </a:r>
            <a:endParaRPr lang="en-US"/>
          </a:p>
        </c:rich>
      </c:tx>
      <c:layout>
        <c:manualLayout>
          <c:xMode val="edge"/>
          <c:yMode val="edge"/>
          <c:x val="0.16912077579087662"/>
          <c:y val="2.4817778925175338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6728268779486677"/>
          <c:y val="2.5428337851211222E-2"/>
          <c:w val="0.795828325197668"/>
          <c:h val="0.77271617089530475"/>
        </c:manualLayout>
      </c:layout>
      <c:scatterChart>
        <c:scatterStyle val="smoothMarker"/>
        <c:varyColors val="0"/>
        <c:ser>
          <c:idx val="0"/>
          <c:order val="0"/>
          <c:tx>
            <c:strRef>
              <c:f>Sayfa2!$C$3</c:f>
              <c:strCache>
                <c:ptCount val="1"/>
                <c:pt idx="0">
                  <c:v>2 mg</c:v>
                </c:pt>
              </c:strCache>
            </c:strRef>
          </c:tx>
          <c:spPr>
            <a:ln w="0" cap="rnd">
              <a:solidFill>
                <a:schemeClr val="tx1"/>
              </a:solidFill>
              <a:round/>
            </a:ln>
            <a:effectLst/>
          </c:spPr>
          <c:marker>
            <c:symbol val="circle"/>
            <c:size val="5"/>
            <c:spPr>
              <a:noFill/>
              <a:ln w="9525">
                <a:solidFill>
                  <a:schemeClr val="tx1"/>
                </a:solidFill>
              </a:ln>
              <a:effectLst/>
            </c:spPr>
          </c:marker>
          <c:xVal>
            <c:numRef>
              <c:f>Sayfa2!$B$4:$B$12</c:f>
              <c:numCache>
                <c:formatCode>General</c:formatCode>
                <c:ptCount val="9"/>
                <c:pt idx="0">
                  <c:v>0.2</c:v>
                </c:pt>
                <c:pt idx="1">
                  <c:v>0.4</c:v>
                </c:pt>
                <c:pt idx="2">
                  <c:v>0.6</c:v>
                </c:pt>
                <c:pt idx="3">
                  <c:v>0.8</c:v>
                </c:pt>
                <c:pt idx="4">
                  <c:v>1</c:v>
                </c:pt>
                <c:pt idx="5">
                  <c:v>1.5</c:v>
                </c:pt>
                <c:pt idx="6">
                  <c:v>2</c:v>
                </c:pt>
                <c:pt idx="7">
                  <c:v>2.5</c:v>
                </c:pt>
                <c:pt idx="8">
                  <c:v>3</c:v>
                </c:pt>
              </c:numCache>
            </c:numRef>
          </c:xVal>
          <c:yVal>
            <c:numRef>
              <c:f>Sayfa2!$C$4:$C$12</c:f>
              <c:numCache>
                <c:formatCode>General</c:formatCode>
                <c:ptCount val="9"/>
                <c:pt idx="0">
                  <c:v>5.97166</c:v>
                </c:pt>
                <c:pt idx="1">
                  <c:v>8.6866600000000034</c:v>
                </c:pt>
                <c:pt idx="2">
                  <c:v>11.151660000000007</c:v>
                </c:pt>
                <c:pt idx="3">
                  <c:v>13.931660000000008</c:v>
                </c:pt>
                <c:pt idx="4">
                  <c:v>17.106660000000005</c:v>
                </c:pt>
                <c:pt idx="5">
                  <c:v>19.876660000000015</c:v>
                </c:pt>
                <c:pt idx="6">
                  <c:v>22.791660000000007</c:v>
                </c:pt>
                <c:pt idx="7">
                  <c:v>25.72666000000001</c:v>
                </c:pt>
                <c:pt idx="8">
                  <c:v>27.731660000000005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D73C-4D1D-9111-1B907CDC0AD7}"/>
            </c:ext>
          </c:extLst>
        </c:ser>
        <c:ser>
          <c:idx val="1"/>
          <c:order val="1"/>
          <c:tx>
            <c:strRef>
              <c:f>Sayfa2!$D$3</c:f>
              <c:strCache>
                <c:ptCount val="1"/>
                <c:pt idx="0">
                  <c:v>0.5 mg</c:v>
                </c:pt>
              </c:strCache>
            </c:strRef>
          </c:tx>
          <c:spPr>
            <a:ln w="3175" cap="rnd">
              <a:solidFill>
                <a:schemeClr val="tx1"/>
              </a:solidFill>
              <a:round/>
            </a:ln>
            <a:effectLst/>
          </c:spPr>
          <c:marker>
            <c:symbol val="square"/>
            <c:size val="5"/>
            <c:spPr>
              <a:noFill/>
              <a:ln w="9525">
                <a:solidFill>
                  <a:schemeClr val="tx1"/>
                </a:solidFill>
              </a:ln>
              <a:effectLst/>
            </c:spPr>
          </c:marker>
          <c:xVal>
            <c:numRef>
              <c:f>Sayfa2!$B$4:$B$12</c:f>
              <c:numCache>
                <c:formatCode>General</c:formatCode>
                <c:ptCount val="9"/>
                <c:pt idx="0">
                  <c:v>0.2</c:v>
                </c:pt>
                <c:pt idx="1">
                  <c:v>0.4</c:v>
                </c:pt>
                <c:pt idx="2">
                  <c:v>0.6</c:v>
                </c:pt>
                <c:pt idx="3">
                  <c:v>0.8</c:v>
                </c:pt>
                <c:pt idx="4">
                  <c:v>1</c:v>
                </c:pt>
                <c:pt idx="5">
                  <c:v>1.5</c:v>
                </c:pt>
                <c:pt idx="6">
                  <c:v>2</c:v>
                </c:pt>
                <c:pt idx="7">
                  <c:v>2.5</c:v>
                </c:pt>
                <c:pt idx="8">
                  <c:v>3</c:v>
                </c:pt>
              </c:numCache>
            </c:numRef>
          </c:xVal>
          <c:yVal>
            <c:numRef>
              <c:f>Sayfa2!$D$4:$D$12</c:f>
              <c:numCache>
                <c:formatCode>General</c:formatCode>
                <c:ptCount val="9"/>
                <c:pt idx="0">
                  <c:v>6.4933300000000003</c:v>
                </c:pt>
                <c:pt idx="1">
                  <c:v>9.3433299999999946</c:v>
                </c:pt>
                <c:pt idx="2">
                  <c:v>10.943330000000003</c:v>
                </c:pt>
                <c:pt idx="3">
                  <c:v>12.643330000000006</c:v>
                </c:pt>
                <c:pt idx="4">
                  <c:v>13.943330000000003</c:v>
                </c:pt>
                <c:pt idx="5">
                  <c:v>15.24333</c:v>
                </c:pt>
                <c:pt idx="6">
                  <c:v>16.443330000000017</c:v>
                </c:pt>
                <c:pt idx="7">
                  <c:v>18</c:v>
                </c:pt>
                <c:pt idx="8">
                  <c:v>20.193330000000003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D73C-4D1D-9111-1B907CDC0AD7}"/>
            </c:ext>
          </c:extLst>
        </c:ser>
        <c:ser>
          <c:idx val="2"/>
          <c:order val="2"/>
          <c:tx>
            <c:strRef>
              <c:f>Sayfa2!$E$3</c:f>
              <c:strCache>
                <c:ptCount val="1"/>
                <c:pt idx="0">
                  <c:v>0.1 mg</c:v>
                </c:pt>
              </c:strCache>
            </c:strRef>
          </c:tx>
          <c:spPr>
            <a:ln w="3175" cap="rnd">
              <a:solidFill>
                <a:schemeClr val="tx1"/>
              </a:solidFill>
              <a:round/>
            </a:ln>
            <a:effectLst/>
          </c:spPr>
          <c:marker>
            <c:symbol val="triangle"/>
            <c:size val="5"/>
            <c:spPr>
              <a:solidFill>
                <a:schemeClr val="tx1"/>
              </a:solidFill>
              <a:ln w="9525">
                <a:solidFill>
                  <a:schemeClr val="tx1"/>
                </a:solidFill>
              </a:ln>
              <a:effectLst/>
            </c:spPr>
          </c:marker>
          <c:xVal>
            <c:numRef>
              <c:f>Sayfa2!$B$4:$B$12</c:f>
              <c:numCache>
                <c:formatCode>General</c:formatCode>
                <c:ptCount val="9"/>
                <c:pt idx="0">
                  <c:v>0.2</c:v>
                </c:pt>
                <c:pt idx="1">
                  <c:v>0.4</c:v>
                </c:pt>
                <c:pt idx="2">
                  <c:v>0.6</c:v>
                </c:pt>
                <c:pt idx="3">
                  <c:v>0.8</c:v>
                </c:pt>
                <c:pt idx="4">
                  <c:v>1</c:v>
                </c:pt>
                <c:pt idx="5">
                  <c:v>1.5</c:v>
                </c:pt>
                <c:pt idx="6">
                  <c:v>2</c:v>
                </c:pt>
                <c:pt idx="7">
                  <c:v>2.5</c:v>
                </c:pt>
                <c:pt idx="8">
                  <c:v>3</c:v>
                </c:pt>
              </c:numCache>
            </c:numRef>
          </c:xVal>
          <c:yVal>
            <c:numRef>
              <c:f>Sayfa2!$E$4:$E$12</c:f>
              <c:numCache>
                <c:formatCode>General</c:formatCode>
                <c:ptCount val="9"/>
                <c:pt idx="0">
                  <c:v>9.5283000000000015</c:v>
                </c:pt>
                <c:pt idx="1">
                  <c:v>11.928299999999993</c:v>
                </c:pt>
                <c:pt idx="2">
                  <c:v>13.87830000000001</c:v>
                </c:pt>
                <c:pt idx="3">
                  <c:v>14.778300000000016</c:v>
                </c:pt>
                <c:pt idx="4">
                  <c:v>15.728300000000004</c:v>
                </c:pt>
                <c:pt idx="5">
                  <c:v>16.228300000000004</c:v>
                </c:pt>
                <c:pt idx="6">
                  <c:v>16.978300000000004</c:v>
                </c:pt>
                <c:pt idx="7">
                  <c:v>16.428299999999993</c:v>
                </c:pt>
                <c:pt idx="8">
                  <c:v>16.528300000000016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D73C-4D1D-9111-1B907CDC0AD7}"/>
            </c:ext>
          </c:extLst>
        </c:ser>
        <c:ser>
          <c:idx val="3"/>
          <c:order val="3"/>
          <c:tx>
            <c:strRef>
              <c:f>Sayfa2!$F$3</c:f>
              <c:strCache>
                <c:ptCount val="1"/>
                <c:pt idx="0">
                  <c:v>NP-Free</c:v>
                </c:pt>
              </c:strCache>
            </c:strRef>
          </c:tx>
          <c:spPr>
            <a:ln w="3175" cap="rnd">
              <a:solidFill>
                <a:schemeClr val="tx1"/>
              </a:solidFill>
              <a:round/>
            </a:ln>
            <a:effectLst/>
          </c:spPr>
          <c:marker>
            <c:symbol val="triangle"/>
            <c:size val="5"/>
            <c:spPr>
              <a:noFill/>
              <a:ln w="9525">
                <a:solidFill>
                  <a:schemeClr val="tx1">
                    <a:alpha val="94000"/>
                  </a:schemeClr>
                </a:solidFill>
              </a:ln>
              <a:effectLst/>
            </c:spPr>
          </c:marker>
          <c:xVal>
            <c:numRef>
              <c:f>Sayfa2!$B$4:$B$12</c:f>
              <c:numCache>
                <c:formatCode>General</c:formatCode>
                <c:ptCount val="9"/>
                <c:pt idx="0">
                  <c:v>0.2</c:v>
                </c:pt>
                <c:pt idx="1">
                  <c:v>0.4</c:v>
                </c:pt>
                <c:pt idx="2">
                  <c:v>0.6</c:v>
                </c:pt>
                <c:pt idx="3">
                  <c:v>0.8</c:v>
                </c:pt>
                <c:pt idx="4">
                  <c:v>1</c:v>
                </c:pt>
                <c:pt idx="5">
                  <c:v>1.5</c:v>
                </c:pt>
                <c:pt idx="6">
                  <c:v>2</c:v>
                </c:pt>
                <c:pt idx="7">
                  <c:v>2.5</c:v>
                </c:pt>
                <c:pt idx="8">
                  <c:v>3</c:v>
                </c:pt>
              </c:numCache>
            </c:numRef>
          </c:xVal>
          <c:yVal>
            <c:numRef>
              <c:f>Sayfa2!$F$4:$F$12</c:f>
              <c:numCache>
                <c:formatCode>General</c:formatCode>
                <c:ptCount val="9"/>
                <c:pt idx="0">
                  <c:v>5.6549999999999869</c:v>
                </c:pt>
                <c:pt idx="1">
                  <c:v>7.4249999999999972</c:v>
                </c:pt>
                <c:pt idx="2">
                  <c:v>8.9500000000000028</c:v>
                </c:pt>
                <c:pt idx="3">
                  <c:v>10.864999999999995</c:v>
                </c:pt>
                <c:pt idx="4">
                  <c:v>12.089999999999989</c:v>
                </c:pt>
                <c:pt idx="5">
                  <c:v>13.539999999999992</c:v>
                </c:pt>
                <c:pt idx="6">
                  <c:v>14.839999999999989</c:v>
                </c:pt>
                <c:pt idx="7">
                  <c:v>15.989999999999995</c:v>
                </c:pt>
                <c:pt idx="8">
                  <c:v>16.89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3-D73C-4D1D-9111-1B907CDC0AD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83302936"/>
        <c:axId val="283303328"/>
      </c:scatterChart>
      <c:valAx>
        <c:axId val="283302936"/>
        <c:scaling>
          <c:orientation val="minMax"/>
          <c:max val="3"/>
        </c:scaling>
        <c:delete val="0"/>
        <c:axPos val="b"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tr-TR"/>
                  <a:t>Glucose Concentration (mM)</a:t>
                </a:r>
              </a:p>
            </c:rich>
          </c:tx>
          <c:layout>
            <c:manualLayout>
              <c:xMode val="edge"/>
              <c:yMode val="edge"/>
              <c:x val="0.37875568678915128"/>
              <c:y val="0.90583734324876053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tr-TR"/>
          </a:p>
        </c:txPr>
        <c:crossAx val="283303328"/>
        <c:crosses val="autoZero"/>
        <c:crossBetween val="midCat"/>
      </c:valAx>
      <c:valAx>
        <c:axId val="283303328"/>
        <c:scaling>
          <c:orientation val="minMax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tr-TR"/>
                  <a:t>Current (mA)</a:t>
                </a:r>
              </a:p>
            </c:rich>
          </c:tx>
          <c:layout>
            <c:manualLayout>
              <c:xMode val="edge"/>
              <c:yMode val="edge"/>
              <c:x val="3.2731408573928256E-2"/>
              <c:y val="0.29087197433654127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tr-TR"/>
          </a:p>
        </c:txPr>
        <c:crossAx val="28330293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800" b="0">
          <a:solidFill>
            <a:sysClr val="windowText" lastClr="000000"/>
          </a:solidFill>
          <a:latin typeface="Arial" panose="020B0604020202020204" pitchFamily="34" charset="0"/>
          <a:cs typeface="Arial" panose="020B0604020202020204" pitchFamily="34" charset="0"/>
        </a:defRPr>
      </a:pPr>
      <a:endParaRPr lang="tr-TR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vert="horz"/>
          <a:lstStyle/>
          <a:p>
            <a:pPr>
              <a:defRPr b="0"/>
            </a:pPr>
            <a:r>
              <a:rPr lang="tr-TR" b="0"/>
              <a:t>(B)</a:t>
            </a:r>
          </a:p>
        </c:rich>
      </c:tx>
      <c:layout>
        <c:manualLayout>
          <c:xMode val="edge"/>
          <c:yMode val="edge"/>
          <c:x val="0.14759281243690694"/>
          <c:y val="2.7777740548388899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4260415909549767"/>
          <c:y val="3.1041715530239565E-2"/>
          <c:w val="0.82185697557036141"/>
          <c:h val="0.72769888870274191"/>
        </c:manualLayout>
      </c:layout>
      <c:scatterChart>
        <c:scatterStyle val="smoothMarker"/>
        <c:varyColors val="0"/>
        <c:ser>
          <c:idx val="0"/>
          <c:order val="0"/>
          <c:spPr>
            <a:ln w="3175" cap="rnd">
              <a:solidFill>
                <a:schemeClr val="tx1"/>
              </a:solidFill>
              <a:round/>
            </a:ln>
            <a:effectLst/>
          </c:spPr>
          <c:marker>
            <c:symbol val="triangle"/>
            <c:size val="5"/>
            <c:spPr>
              <a:noFill/>
              <a:ln w="3175">
                <a:solidFill>
                  <a:schemeClr val="tx1"/>
                </a:solidFill>
              </a:ln>
              <a:effectLst/>
            </c:spPr>
          </c:marker>
          <c:xVal>
            <c:numRef>
              <c:f>Sayfa2!$D$27:$D$35</c:f>
              <c:numCache>
                <c:formatCode>General</c:formatCode>
                <c:ptCount val="9"/>
                <c:pt idx="0">
                  <c:v>0.2</c:v>
                </c:pt>
                <c:pt idx="1">
                  <c:v>0.4</c:v>
                </c:pt>
                <c:pt idx="2">
                  <c:v>0.6</c:v>
                </c:pt>
                <c:pt idx="3">
                  <c:v>0.8</c:v>
                </c:pt>
                <c:pt idx="4">
                  <c:v>1</c:v>
                </c:pt>
                <c:pt idx="5">
                  <c:v>1.5</c:v>
                </c:pt>
                <c:pt idx="6">
                  <c:v>2</c:v>
                </c:pt>
                <c:pt idx="7">
                  <c:v>2.5</c:v>
                </c:pt>
                <c:pt idx="8">
                  <c:v>3</c:v>
                </c:pt>
              </c:numCache>
            </c:numRef>
          </c:xVal>
          <c:yVal>
            <c:numRef>
              <c:f>Sayfa2!$E$27:$E$35</c:f>
              <c:numCache>
                <c:formatCode>General</c:formatCode>
                <c:ptCount val="9"/>
                <c:pt idx="0">
                  <c:v>2.2800000000000011</c:v>
                </c:pt>
                <c:pt idx="1">
                  <c:v>3.1499999999999915</c:v>
                </c:pt>
                <c:pt idx="2">
                  <c:v>3.5700000000000074</c:v>
                </c:pt>
                <c:pt idx="3">
                  <c:v>4.0150000000000006</c:v>
                </c:pt>
                <c:pt idx="4">
                  <c:v>4.2450000000000045</c:v>
                </c:pt>
                <c:pt idx="5">
                  <c:v>4.6799999999999926</c:v>
                </c:pt>
                <c:pt idx="6">
                  <c:v>5.125</c:v>
                </c:pt>
                <c:pt idx="7">
                  <c:v>5.5350000000000108</c:v>
                </c:pt>
                <c:pt idx="8">
                  <c:v>5.7250000000000085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D390-4CBC-A90B-F7E084B6783E}"/>
            </c:ext>
          </c:extLst>
        </c:ser>
        <c:ser>
          <c:idx val="1"/>
          <c:order val="1"/>
          <c:spPr>
            <a:ln w="3175" cap="rnd">
              <a:solidFill>
                <a:schemeClr val="tx1">
                  <a:alpha val="96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noFill/>
              <a:ln w="9525">
                <a:solidFill>
                  <a:schemeClr val="tx1"/>
                </a:solidFill>
              </a:ln>
              <a:effectLst/>
            </c:spPr>
          </c:marker>
          <c:xVal>
            <c:numRef>
              <c:f>Sayfa2!$D$27:$D$35</c:f>
              <c:numCache>
                <c:formatCode>General</c:formatCode>
                <c:ptCount val="9"/>
                <c:pt idx="0">
                  <c:v>0.2</c:v>
                </c:pt>
                <c:pt idx="1">
                  <c:v>0.4</c:v>
                </c:pt>
                <c:pt idx="2">
                  <c:v>0.6</c:v>
                </c:pt>
                <c:pt idx="3">
                  <c:v>0.8</c:v>
                </c:pt>
                <c:pt idx="4">
                  <c:v>1</c:v>
                </c:pt>
                <c:pt idx="5">
                  <c:v>1.5</c:v>
                </c:pt>
                <c:pt idx="6">
                  <c:v>2</c:v>
                </c:pt>
                <c:pt idx="7">
                  <c:v>2.5</c:v>
                </c:pt>
                <c:pt idx="8">
                  <c:v>3</c:v>
                </c:pt>
              </c:numCache>
            </c:numRef>
          </c:xVal>
          <c:yVal>
            <c:numRef>
              <c:f>Sayfa2!$F$27:$F$35</c:f>
              <c:numCache>
                <c:formatCode>General</c:formatCode>
                <c:ptCount val="9"/>
                <c:pt idx="0">
                  <c:v>2.2433299999999861</c:v>
                </c:pt>
                <c:pt idx="1">
                  <c:v>2.8483300000000042</c:v>
                </c:pt>
                <c:pt idx="2">
                  <c:v>3.4633299999999849</c:v>
                </c:pt>
                <c:pt idx="3">
                  <c:v>3.9483299999999986</c:v>
                </c:pt>
                <c:pt idx="4">
                  <c:v>4.0033300000000054</c:v>
                </c:pt>
                <c:pt idx="5">
                  <c:v>4.163330000000002</c:v>
                </c:pt>
                <c:pt idx="6">
                  <c:v>4.5233299999999872</c:v>
                </c:pt>
                <c:pt idx="7">
                  <c:v>4.4233299999999929</c:v>
                </c:pt>
                <c:pt idx="8">
                  <c:v>4.7733299999999872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D390-4CBC-A90B-F7E084B6783E}"/>
            </c:ext>
          </c:extLst>
        </c:ser>
        <c:ser>
          <c:idx val="2"/>
          <c:order val="2"/>
          <c:spPr>
            <a:ln w="3175" cap="rnd">
              <a:solidFill>
                <a:schemeClr val="tx1"/>
              </a:solidFill>
              <a:round/>
            </a:ln>
            <a:effectLst/>
          </c:spPr>
          <c:marker>
            <c:symbol val="square"/>
            <c:size val="5"/>
            <c:spPr>
              <a:noFill/>
              <a:ln w="9525">
                <a:solidFill>
                  <a:schemeClr val="tx1"/>
                </a:solidFill>
              </a:ln>
              <a:effectLst/>
            </c:spPr>
          </c:marker>
          <c:xVal>
            <c:numRef>
              <c:f>Sayfa2!$D$27:$D$35</c:f>
              <c:numCache>
                <c:formatCode>General</c:formatCode>
                <c:ptCount val="9"/>
                <c:pt idx="0">
                  <c:v>0.2</c:v>
                </c:pt>
                <c:pt idx="1">
                  <c:v>0.4</c:v>
                </c:pt>
                <c:pt idx="2">
                  <c:v>0.6</c:v>
                </c:pt>
                <c:pt idx="3">
                  <c:v>0.8</c:v>
                </c:pt>
                <c:pt idx="4">
                  <c:v>1</c:v>
                </c:pt>
                <c:pt idx="5">
                  <c:v>1.5</c:v>
                </c:pt>
                <c:pt idx="6">
                  <c:v>2</c:v>
                </c:pt>
                <c:pt idx="7">
                  <c:v>2.5</c:v>
                </c:pt>
                <c:pt idx="8">
                  <c:v>3</c:v>
                </c:pt>
              </c:numCache>
            </c:numRef>
          </c:xVal>
          <c:yVal>
            <c:numRef>
              <c:f>Sayfa2!$G$27:$G$35</c:f>
              <c:numCache>
                <c:formatCode>General</c:formatCode>
                <c:ptCount val="9"/>
                <c:pt idx="0">
                  <c:v>2.136659999999992</c:v>
                </c:pt>
                <c:pt idx="1">
                  <c:v>2.7441599999999937</c:v>
                </c:pt>
                <c:pt idx="2">
                  <c:v>3.2741600000000091</c:v>
                </c:pt>
                <c:pt idx="3">
                  <c:v>3.5666599999999988</c:v>
                </c:pt>
                <c:pt idx="4">
                  <c:v>3.7316600000000051</c:v>
                </c:pt>
                <c:pt idx="5">
                  <c:v>4.09666</c:v>
                </c:pt>
                <c:pt idx="6">
                  <c:v>4.3416600000000045</c:v>
                </c:pt>
                <c:pt idx="7">
                  <c:v>4.6141599999999983</c:v>
                </c:pt>
                <c:pt idx="8">
                  <c:v>4.8041600000000031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D390-4CBC-A90B-F7E084B6783E}"/>
            </c:ext>
          </c:extLst>
        </c:ser>
        <c:ser>
          <c:idx val="3"/>
          <c:order val="3"/>
          <c:spPr>
            <a:ln w="3175" cap="rnd">
              <a:solidFill>
                <a:schemeClr val="tx1"/>
              </a:solidFill>
              <a:round/>
            </a:ln>
            <a:effectLst/>
          </c:spPr>
          <c:marker>
            <c:symbol val="triangle"/>
            <c:size val="5"/>
            <c:spPr>
              <a:solidFill>
                <a:schemeClr val="tx1"/>
              </a:solidFill>
              <a:ln w="9525">
                <a:solidFill>
                  <a:schemeClr val="tx1"/>
                </a:solidFill>
              </a:ln>
              <a:effectLst/>
            </c:spPr>
          </c:marker>
          <c:xVal>
            <c:numRef>
              <c:f>Sayfa2!$D$27:$D$35</c:f>
              <c:numCache>
                <c:formatCode>General</c:formatCode>
                <c:ptCount val="9"/>
                <c:pt idx="0">
                  <c:v>0.2</c:v>
                </c:pt>
                <c:pt idx="1">
                  <c:v>0.4</c:v>
                </c:pt>
                <c:pt idx="2">
                  <c:v>0.6</c:v>
                </c:pt>
                <c:pt idx="3">
                  <c:v>0.8</c:v>
                </c:pt>
                <c:pt idx="4">
                  <c:v>1</c:v>
                </c:pt>
                <c:pt idx="5">
                  <c:v>1.5</c:v>
                </c:pt>
                <c:pt idx="6">
                  <c:v>2</c:v>
                </c:pt>
                <c:pt idx="7">
                  <c:v>2.5</c:v>
                </c:pt>
                <c:pt idx="8">
                  <c:v>3</c:v>
                </c:pt>
              </c:numCache>
            </c:numRef>
          </c:xVal>
          <c:yVal>
            <c:numRef>
              <c:f>Sayfa2!$H$27:$H$35</c:f>
              <c:numCache>
                <c:formatCode>General</c:formatCode>
                <c:ptCount val="9"/>
                <c:pt idx="0">
                  <c:v>2.5033300000000054</c:v>
                </c:pt>
                <c:pt idx="1">
                  <c:v>3.2333300000000094</c:v>
                </c:pt>
                <c:pt idx="2">
                  <c:v>3.8883299999999963</c:v>
                </c:pt>
                <c:pt idx="3">
                  <c:v>4.7733300000000156</c:v>
                </c:pt>
                <c:pt idx="4">
                  <c:v>5.018330000000006</c:v>
                </c:pt>
                <c:pt idx="5">
                  <c:v>5.8433300000000088</c:v>
                </c:pt>
                <c:pt idx="6">
                  <c:v>6.2583300000000008</c:v>
                </c:pt>
                <c:pt idx="7">
                  <c:v>6.8983300000000156</c:v>
                </c:pt>
                <c:pt idx="8">
                  <c:v>7.2233300000000042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3-D390-4CBC-A90B-F7E084B6783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83304112"/>
        <c:axId val="280416776"/>
      </c:scatterChart>
      <c:valAx>
        <c:axId val="283304112"/>
        <c:scaling>
          <c:orientation val="minMax"/>
          <c:max val="3"/>
        </c:scaling>
        <c:delete val="0"/>
        <c:axPos val="b"/>
        <c:title>
          <c:tx>
            <c:rich>
              <a:bodyPr rot="0" vert="horz"/>
              <a:lstStyle/>
              <a:p>
                <a:pPr>
                  <a:defRPr b="0"/>
                </a:pPr>
                <a:r>
                  <a:rPr lang="tr-TR" b="0"/>
                  <a:t>Glucose Concentration (mM)</a:t>
                </a:r>
              </a:p>
            </c:rich>
          </c:tx>
          <c:layout>
            <c:manualLayout>
              <c:xMode val="edge"/>
              <c:yMode val="edge"/>
              <c:x val="0.37057524059492569"/>
              <c:y val="0.89017279090113732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tr-TR"/>
          </a:p>
        </c:txPr>
        <c:crossAx val="280416776"/>
        <c:crosses val="autoZero"/>
        <c:crossBetween val="midCat"/>
      </c:valAx>
      <c:valAx>
        <c:axId val="280416776"/>
        <c:scaling>
          <c:orientation val="minMax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 b="0"/>
                </a:pPr>
                <a:r>
                  <a:rPr lang="tr-TR" b="0"/>
                  <a:t>Current (mA)</a:t>
                </a:r>
              </a:p>
            </c:rich>
          </c:tx>
          <c:layout>
            <c:manualLayout>
              <c:xMode val="edge"/>
              <c:yMode val="edge"/>
              <c:x val="2.0766404199475064E-2"/>
              <c:y val="0.28098534558180227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tr-TR"/>
          </a:p>
        </c:txPr>
        <c:crossAx val="283304112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800">
          <a:solidFill>
            <a:sysClr val="windowText" lastClr="000000"/>
          </a:solidFill>
          <a:latin typeface="Arial" panose="020B0604020202020204" pitchFamily="34" charset="0"/>
          <a:cs typeface="Arial" panose="020B0604020202020204" pitchFamily="34" charset="0"/>
        </a:defRPr>
      </a:pPr>
      <a:endParaRPr lang="tr-TR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3</cp:revision>
  <dcterms:created xsi:type="dcterms:W3CDTF">2019-02-16T23:49:00Z</dcterms:created>
  <dcterms:modified xsi:type="dcterms:W3CDTF">2019-04-05T22:35:00Z</dcterms:modified>
</cp:coreProperties>
</file>